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26"/>
        <w:ind w:left="100"/>
      </w:pPr>
      <w:r>
        <w:rPr/>
        <w:t>July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exact" w:before="1"/>
        <w:ind w:left="100"/>
      </w:pPr>
      <w:r>
        <w:rPr/>
        <w:t>Bureau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Land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ind w:left="100" w:right="2535"/>
      </w:pPr>
      <w:r>
        <w:rPr/>
        <w:t>Attn: East Alaska RMP Amendment/EA</w:t>
      </w:r>
      <w:r>
        <w:rPr>
          <w:spacing w:val="-47"/>
        </w:rPr>
        <w:t> </w:t>
      </w:r>
      <w:r>
        <w:rPr/>
        <w:t>222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Ave.,</w:t>
      </w:r>
      <w:r>
        <w:rPr>
          <w:spacing w:val="-1"/>
          <w:vertAlign w:val="baseline"/>
        </w:rPr>
        <w:t> </w:t>
      </w:r>
      <w:r>
        <w:rPr>
          <w:vertAlign w:val="baseline"/>
        </w:rPr>
        <w:t>Stop</w:t>
      </w:r>
      <w:r>
        <w:rPr>
          <w:spacing w:val="-2"/>
          <w:vertAlign w:val="baseline"/>
        </w:rPr>
        <w:t> </w:t>
      </w:r>
      <w:r>
        <w:rPr>
          <w:vertAlign w:val="baseline"/>
        </w:rPr>
        <w:t>13</w:t>
      </w:r>
    </w:p>
    <w:p>
      <w:pPr>
        <w:pStyle w:val="BodyText"/>
        <w:ind w:left="100"/>
      </w:pPr>
      <w:r>
        <w:rPr/>
        <w:t>Anchorage,</w:t>
      </w:r>
      <w:r>
        <w:rPr>
          <w:spacing w:val="-3"/>
        </w:rPr>
        <w:t> </w:t>
      </w:r>
      <w:r>
        <w:rPr/>
        <w:t>AK</w:t>
      </w:r>
      <w:r>
        <w:rPr>
          <w:spacing w:val="45"/>
        </w:rPr>
        <w:t> </w:t>
      </w:r>
      <w:r>
        <w:rPr/>
        <w:t>99513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Re: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East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Alaska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RMP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Amendment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Environmental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Assessment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00"/>
      </w:pPr>
      <w:r>
        <w:rPr/>
        <w:t>Dear</w:t>
      </w:r>
      <w:r>
        <w:rPr>
          <w:spacing w:val="-4"/>
        </w:rPr>
        <w:t> </w:t>
      </w:r>
      <w:r>
        <w:rPr/>
        <w:t>Bureau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Land</w:t>
      </w:r>
      <w:r>
        <w:rPr>
          <w:spacing w:val="-3"/>
        </w:rPr>
        <w:t> </w:t>
      </w:r>
      <w:r>
        <w:rPr/>
        <w:t>Management:</w:t>
      </w:r>
    </w:p>
    <w:p>
      <w:pPr>
        <w:pStyle w:val="Title"/>
      </w:pPr>
      <w:r>
        <w:rPr/>
        <w:br w:type="column"/>
      </w:r>
      <w:r>
        <w:rPr>
          <w:color w:val="005768"/>
          <w:spacing w:val="-11"/>
          <w:w w:val="135"/>
        </w:rPr>
        <w:t>Koniag</w:t>
      </w:r>
    </w:p>
    <w:p>
      <w:pPr>
        <w:spacing w:before="77"/>
        <w:ind w:left="0" w:right="200" w:firstLine="0"/>
        <w:jc w:val="right"/>
        <w:rPr>
          <w:rFonts w:ascii="Arial"/>
          <w:sz w:val="16"/>
        </w:rPr>
      </w:pPr>
      <w:r>
        <w:rPr/>
        <w:pict>
          <v:group style="position:absolute;margin-left:424.157898pt;margin-top:-28.966578pt;width:29.75pt;height:23.05pt;mso-position-horizontal-relative:page;mso-position-vertical-relative:paragraph;z-index:15729152" id="docshapegroup2" coordorigin="8483,-579" coordsize="595,461">
            <v:shape style="position:absolute;left:8483;top:-580;width:595;height:461" id="docshape3" coordorigin="8483,-579" coordsize="595,461" path="m8798,-579l8790,-579,8777,-567,8754,-546,8702,-463,8698,-454,8689,-436,8689,-428,8686,-420,8623,-399,8583,-375,8573,-369,8510,-330,8490,-305,8483,-301,8492,-280,8524,-262,8552,-248,8561,-245,8564,-226,8544,-147,8550,-134,8557,-132,8571,-162,8579,-175,8588,-188,8599,-200,8618,-220,8622,-223,8631,-212,8641,-197,8658,-167,8668,-154,8675,-146,8684,-137,8694,-130,8703,-127,8712,-128,8721,-139,8739,-149,8749,-154,8761,-163,8779,-171,8776,-178,8769,-181,8755,-184,8741,-187,8732,-189,8724,-192,8711,-200,8732,-209,8747,-206,8778,-206,8840,-230,8854,-237,8906,-193,8911,-180,8921,-171,8929,-163,8946,-147,8954,-140,8964,-132,8979,-123,8994,-119,9006,-123,9005,-133,8995,-148,8981,-163,8973,-175,8968,-185,8965,-195,8963,-206,8961,-230,8957,-241,8951,-243,8949,-247,8951,-261,8968,-269,9006,-280,9028,-291,9039,-295,9050,-297,9060,-298,9073,-289,9078,-311,9005,-345,8954,-349,8928,-349,8904,-343,8892,-336,8879,-337,8869,-341,8860,-348,8852,-357,8843,-364,8833,-370,8812,-380,8802,-386,8788,-400,8778,-417,8771,-436,8770,-456,8772,-478,8776,-499,8781,-520,8793,-550,8796,-559,8798,-569,8798,-579xe" filled="true" fillcolor="#005768" stroked="false">
              <v:path arrowok="t"/>
              <v:fill type="solid"/>
            </v:shape>
            <v:shape style="position:absolute;left:8571;top:-361;width:263;height:113" type="#_x0000_t75" id="docshape4" stroked="false">
              <v:imagedata r:id="rId6" o:title=""/>
            </v:shape>
            <w10:wrap type="none"/>
          </v:group>
        </w:pict>
      </w:r>
      <w:r>
        <w:rPr>
          <w:rFonts w:ascii="Arial"/>
          <w:color w:val="615D5A"/>
          <w:sz w:val="16"/>
        </w:rPr>
        <w:t>3800</w:t>
      </w:r>
      <w:r>
        <w:rPr>
          <w:rFonts w:ascii="Arial"/>
          <w:color w:val="615D5A"/>
          <w:spacing w:val="14"/>
          <w:sz w:val="16"/>
        </w:rPr>
        <w:t> </w:t>
      </w:r>
      <w:r>
        <w:rPr>
          <w:rFonts w:ascii="Arial"/>
          <w:color w:val="615D5A"/>
          <w:sz w:val="16"/>
        </w:rPr>
        <w:t>Centerpoint</w:t>
      </w:r>
      <w:r>
        <w:rPr>
          <w:rFonts w:ascii="Arial"/>
          <w:color w:val="615D5A"/>
          <w:spacing w:val="14"/>
          <w:sz w:val="16"/>
        </w:rPr>
        <w:t> </w:t>
      </w:r>
      <w:r>
        <w:rPr>
          <w:rFonts w:ascii="Arial"/>
          <w:color w:val="615D5A"/>
          <w:sz w:val="16"/>
        </w:rPr>
        <w:t>Drive</w:t>
      </w:r>
    </w:p>
    <w:p>
      <w:pPr>
        <w:spacing w:before="47"/>
        <w:ind w:left="0" w:right="200" w:firstLine="0"/>
        <w:jc w:val="right"/>
        <w:rPr>
          <w:rFonts w:ascii="Arial"/>
          <w:sz w:val="16"/>
        </w:rPr>
      </w:pPr>
      <w:r>
        <w:rPr>
          <w:rFonts w:ascii="Arial"/>
          <w:color w:val="615D5A"/>
          <w:sz w:val="16"/>
        </w:rPr>
        <w:t>Suite</w:t>
      </w:r>
      <w:r>
        <w:rPr>
          <w:rFonts w:ascii="Arial"/>
          <w:color w:val="615D5A"/>
          <w:spacing w:val="10"/>
          <w:sz w:val="16"/>
        </w:rPr>
        <w:t> </w:t>
      </w:r>
      <w:r>
        <w:rPr>
          <w:rFonts w:ascii="Arial"/>
          <w:color w:val="615D5A"/>
          <w:sz w:val="16"/>
        </w:rPr>
        <w:t>502</w:t>
      </w:r>
    </w:p>
    <w:p>
      <w:pPr>
        <w:spacing w:before="46"/>
        <w:ind w:left="0" w:right="200" w:firstLine="0"/>
        <w:jc w:val="right"/>
        <w:rPr>
          <w:rFonts w:ascii="Arial"/>
          <w:sz w:val="16"/>
        </w:rPr>
      </w:pPr>
      <w:r>
        <w:rPr>
          <w:rFonts w:ascii="Arial"/>
          <w:color w:val="615D5A"/>
          <w:sz w:val="16"/>
        </w:rPr>
        <w:t>Anchorage,</w:t>
      </w:r>
      <w:r>
        <w:rPr>
          <w:rFonts w:ascii="Arial"/>
          <w:color w:val="615D5A"/>
          <w:spacing w:val="11"/>
          <w:sz w:val="16"/>
        </w:rPr>
        <w:t> </w:t>
      </w:r>
      <w:r>
        <w:rPr>
          <w:rFonts w:ascii="Arial"/>
          <w:color w:val="615D5A"/>
          <w:sz w:val="16"/>
        </w:rPr>
        <w:t>AK</w:t>
      </w:r>
      <w:r>
        <w:rPr>
          <w:rFonts w:ascii="Arial"/>
          <w:color w:val="615D5A"/>
          <w:spacing w:val="13"/>
          <w:sz w:val="16"/>
        </w:rPr>
        <w:t> </w:t>
      </w:r>
      <w:r>
        <w:rPr>
          <w:rFonts w:ascii="Arial"/>
          <w:color w:val="615D5A"/>
          <w:sz w:val="16"/>
        </w:rPr>
        <w:t>99503</w:t>
      </w:r>
    </w:p>
    <w:p>
      <w:pPr>
        <w:spacing w:after="0"/>
        <w:jc w:val="right"/>
        <w:rPr>
          <w:rFonts w:ascii="Arial"/>
          <w:sz w:val="16"/>
        </w:rPr>
        <w:sectPr>
          <w:footerReference w:type="default" r:id="rId5"/>
          <w:type w:val="continuous"/>
          <w:pgSz w:w="12240" w:h="15840"/>
          <w:pgMar w:footer="988" w:header="0" w:top="600" w:bottom="1180" w:left="1340" w:right="1240"/>
          <w:pgNumType w:start="1"/>
          <w:cols w:num="2" w:equalWidth="0">
            <w:col w:w="6110" w:space="1521"/>
            <w:col w:w="2029"/>
          </w:cols>
        </w:sectPr>
      </w:pPr>
    </w:p>
    <w:p>
      <w:pPr>
        <w:pStyle w:val="BodyText"/>
        <w:rPr>
          <w:rFonts w:ascii="Arial"/>
          <w:sz w:val="18"/>
        </w:rPr>
      </w:pPr>
      <w:r>
        <w:rPr/>
        <w:pict>
          <v:rect style="position:absolute;margin-left:61.050079pt;margin-top:718.363464pt;width:2.150094pt;height:36.000080pt;mso-position-horizontal-relative:page;mso-position-vertical-relative:page;z-index:15728640" id="docshape5" filled="true" fillcolor="#ffde6a" stroked="false">
            <v:fill type="solid"/>
            <w10:wrap type="none"/>
          </v:rect>
        </w:pict>
      </w:r>
    </w:p>
    <w:p>
      <w:pPr>
        <w:pStyle w:val="BodyText"/>
        <w:spacing w:before="101"/>
        <w:ind w:left="100" w:right="379"/>
      </w:pPr>
      <w:r>
        <w:rPr/>
        <w:t>Koniag is a regional Alaska Native Corporation formed from the Alaska Native Claims Settlement Act of</w:t>
      </w:r>
      <w:r>
        <w:rPr>
          <w:spacing w:val="-47"/>
        </w:rPr>
        <w:t> </w:t>
      </w:r>
      <w:r>
        <w:rPr/>
        <w:t>1971 (ANCSA). The Koniag region encompasses the Kodiak Island area and a portion of the Alaska</w:t>
      </w:r>
      <w:r>
        <w:rPr>
          <w:spacing w:val="1"/>
        </w:rPr>
        <w:t> </w:t>
      </w:r>
      <w:r>
        <w:rPr/>
        <w:t>Peninsula.</w:t>
      </w:r>
      <w:r>
        <w:rPr>
          <w:spacing w:val="-2"/>
        </w:rPr>
        <w:t> </w:t>
      </w:r>
      <w:r>
        <w:rPr/>
        <w:t>Koniag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4,200</w:t>
      </w:r>
      <w:r>
        <w:rPr>
          <w:spacing w:val="-1"/>
        </w:rPr>
        <w:t> </w:t>
      </w:r>
      <w:r>
        <w:rPr/>
        <w:t>Alaska</w:t>
      </w:r>
      <w:r>
        <w:rPr>
          <w:spacing w:val="-2"/>
        </w:rPr>
        <w:t> </w:t>
      </w:r>
      <w:r>
        <w:rPr/>
        <w:t>Native</w:t>
      </w:r>
      <w:r>
        <w:rPr>
          <w:spacing w:val="-2"/>
        </w:rPr>
        <w:t> </w:t>
      </w:r>
      <w:r>
        <w:rPr/>
        <w:t>Shareholders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Alutiiq</w:t>
      </w:r>
      <w:r>
        <w:rPr>
          <w:spacing w:val="-1"/>
        </w:rPr>
        <w:t> </w:t>
      </w:r>
      <w:r>
        <w:rPr/>
        <w:t>descent.</w:t>
      </w:r>
    </w:p>
    <w:p>
      <w:pPr>
        <w:pStyle w:val="BodyText"/>
      </w:pPr>
    </w:p>
    <w:p>
      <w:pPr>
        <w:pStyle w:val="BodyText"/>
        <w:spacing w:before="1"/>
        <w:ind w:left="100" w:right="155"/>
      </w:pPr>
      <w:r>
        <w:rPr/>
        <w:t>Koniag would like to express our support for Alternative 2 of the East Alaska RMP Amendment/EA in</w:t>
      </w:r>
      <w:r>
        <w:rPr>
          <w:spacing w:val="1"/>
        </w:rPr>
        <w:t> </w:t>
      </w:r>
      <w:r>
        <w:rPr/>
        <w:t>favor of a potential land exchange with Chugach Alaska Corporation (Chugach) to help meet the</w:t>
      </w:r>
      <w:r>
        <w:rPr>
          <w:spacing w:val="1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1113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Dingell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calls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Chugach</w:t>
      </w:r>
      <w:r>
        <w:rPr>
          <w:spacing w:val="-3"/>
        </w:rPr>
        <w:t> </w:t>
      </w:r>
      <w:r>
        <w:rPr/>
        <w:t>Region</w:t>
      </w:r>
      <w:r>
        <w:rPr>
          <w:spacing w:val="-3"/>
        </w:rPr>
        <w:t> </w:t>
      </w:r>
      <w:r>
        <w:rPr/>
        <w:t>Land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land</w:t>
      </w:r>
      <w:r>
        <w:rPr>
          <w:spacing w:val="1"/>
        </w:rPr>
        <w:t> </w:t>
      </w:r>
      <w:r>
        <w:rPr/>
        <w:t>exchange.</w:t>
      </w:r>
    </w:p>
    <w:p>
      <w:pPr>
        <w:pStyle w:val="BodyText"/>
        <w:spacing w:before="1"/>
      </w:pPr>
    </w:p>
    <w:p>
      <w:pPr>
        <w:pStyle w:val="BodyText"/>
        <w:spacing w:line="259" w:lineRule="auto"/>
        <w:ind w:left="100" w:right="337"/>
      </w:pPr>
      <w:r>
        <w:rPr/>
        <w:t>The Chugach Region Land Study and exchange came about because of the Exxon Valdez Oil Spill (EVOS)</w:t>
      </w:r>
      <w:r>
        <w:rPr>
          <w:spacing w:val="-48"/>
        </w:rPr>
        <w:t> </w:t>
      </w:r>
      <w:r>
        <w:rPr/>
        <w:t>habitat acquisition and protection program. Under this program, EVOS settlement funds were used to</w:t>
      </w:r>
      <w:r>
        <w:rPr>
          <w:spacing w:val="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surface</w:t>
      </w:r>
      <w:r>
        <w:rPr>
          <w:spacing w:val="-3"/>
        </w:rPr>
        <w:t> </w:t>
      </w:r>
      <w:r>
        <w:rPr/>
        <w:t>estate</w:t>
      </w:r>
      <w:r>
        <w:rPr>
          <w:spacing w:val="-3"/>
        </w:rPr>
        <w:t> </w:t>
      </w:r>
      <w:r>
        <w:rPr/>
        <w:t>lands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village</w:t>
      </w:r>
      <w:r>
        <w:rPr>
          <w:spacing w:val="-3"/>
        </w:rPr>
        <w:t> </w:t>
      </w:r>
      <w:r>
        <w:rPr/>
        <w:t>corporations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harmed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spill.</w:t>
      </w:r>
    </w:p>
    <w:p>
      <w:pPr>
        <w:pStyle w:val="BodyText"/>
        <w:spacing w:line="259" w:lineRule="auto"/>
        <w:ind w:left="100" w:right="293"/>
      </w:pPr>
      <w:r>
        <w:rPr/>
        <w:t>These native lands were deeded to the federal government with restrictive conservation easements</w:t>
      </w:r>
      <w:r>
        <w:rPr>
          <w:spacing w:val="1"/>
        </w:rPr>
        <w:t> </w:t>
      </w:r>
      <w:r>
        <w:rPr/>
        <w:t>placed on the property. On lands where Chugach owned the subsurface estate, this created a conflict</w:t>
      </w:r>
      <w:r>
        <w:rPr>
          <w:spacing w:val="1"/>
        </w:rPr>
        <w:t> </w:t>
      </w:r>
      <w:r>
        <w:rPr/>
        <w:t>related to land management issues and has created significant harm to Chugach in terms of their ability</w:t>
      </w:r>
      <w:r>
        <w:rPr>
          <w:spacing w:val="-48"/>
        </w:rPr>
        <w:t> </w:t>
      </w:r>
      <w:r>
        <w:rPr/>
        <w:t>to</w:t>
      </w:r>
      <w:r>
        <w:rPr>
          <w:spacing w:val="-2"/>
        </w:rPr>
        <w:t> </w:t>
      </w:r>
      <w:r>
        <w:rPr/>
        <w:t>utilize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lands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Alaska</w:t>
      </w:r>
      <w:r>
        <w:rPr>
          <w:spacing w:val="-1"/>
        </w:rPr>
        <w:t> </w:t>
      </w:r>
      <w:r>
        <w:rPr/>
        <w:t>Native</w:t>
      </w:r>
      <w:r>
        <w:rPr>
          <w:spacing w:val="-2"/>
        </w:rPr>
        <w:t> </w:t>
      </w:r>
      <w:r>
        <w:rPr/>
        <w:t>Claims</w:t>
      </w:r>
      <w:r>
        <w:rPr>
          <w:spacing w:val="-2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(ANCSA).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9" w:lineRule="auto"/>
        <w:ind w:left="100" w:right="200"/>
      </w:pPr>
      <w:r>
        <w:rPr/>
        <w:t>Further, this exchange has cultural significance for the Alaska Natives in the Chugach region. This</w:t>
      </w:r>
      <w:r>
        <w:rPr>
          <w:spacing w:val="1"/>
        </w:rPr>
        <w:t> </w:t>
      </w:r>
      <w:r>
        <w:rPr/>
        <w:t>corridor has long been a traditional trade route for the Chugach people, which led Chugach, along with</w:t>
      </w:r>
      <w:r>
        <w:rPr>
          <w:spacing w:val="1"/>
        </w:rPr>
        <w:t> </w:t>
      </w:r>
      <w:r>
        <w:rPr/>
        <w:t>Tatitlek, to select the adjacent property as part of their original land claims under the ANCSA. In addition</w:t>
      </w:r>
      <w:r>
        <w:rPr>
          <w:spacing w:val="-48"/>
        </w:rPr>
        <w:t> </w:t>
      </w:r>
      <w:r>
        <w:rPr/>
        <w:t>to the Chugach people’s historical stewardship of the land, an exchange is supported for the following</w:t>
      </w:r>
      <w:r>
        <w:rPr>
          <w:spacing w:val="1"/>
        </w:rPr>
        <w:t> </w:t>
      </w:r>
      <w:r>
        <w:rPr/>
        <w:t>reasons: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56" w:lineRule="auto" w:before="1" w:after="0"/>
        <w:ind w:left="460" w:right="535" w:hanging="360"/>
        <w:jc w:val="both"/>
        <w:rPr>
          <w:sz w:val="22"/>
        </w:rPr>
      </w:pPr>
      <w:r>
        <w:rPr>
          <w:sz w:val="22"/>
        </w:rPr>
        <w:t>As part of the land exchange, Chugach has agreed to a 17(b) trail easement which would provide</w:t>
      </w:r>
      <w:r>
        <w:rPr>
          <w:spacing w:val="-47"/>
          <w:sz w:val="22"/>
        </w:rPr>
        <w:t> </w:t>
      </w:r>
      <w:r>
        <w:rPr>
          <w:sz w:val="22"/>
        </w:rPr>
        <w:t>public access from the Richardson Highway to the Lowe River. This easement will allow for hikers</w:t>
      </w:r>
      <w:r>
        <w:rPr>
          <w:spacing w:val="-48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recreational</w:t>
      </w:r>
      <w:r>
        <w:rPr>
          <w:spacing w:val="-1"/>
          <w:sz w:val="22"/>
        </w:rPr>
        <w:t> </w:t>
      </w:r>
      <w:r>
        <w:rPr>
          <w:sz w:val="22"/>
        </w:rPr>
        <w:t>vehicles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snowmachines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four-wheelers.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52" w:lineRule="auto" w:before="9" w:after="0"/>
        <w:ind w:left="460" w:right="23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exchange</w:t>
      </w:r>
      <w:r>
        <w:rPr>
          <w:spacing w:val="-3"/>
          <w:sz w:val="22"/>
        </w:rPr>
        <w:t> </w:t>
      </w: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diminish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10,000</w:t>
      </w:r>
      <w:r>
        <w:rPr>
          <w:spacing w:val="-3"/>
          <w:sz w:val="22"/>
        </w:rPr>
        <w:t> </w:t>
      </w:r>
      <w:r>
        <w:rPr>
          <w:sz w:val="22"/>
        </w:rPr>
        <w:t>acres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easily</w:t>
      </w:r>
      <w:r>
        <w:rPr>
          <w:spacing w:val="-3"/>
          <w:sz w:val="22"/>
        </w:rPr>
        <w:t> </w:t>
      </w:r>
      <w:r>
        <w:rPr>
          <w:sz w:val="22"/>
        </w:rPr>
        <w:t>accessible</w:t>
      </w:r>
      <w:r>
        <w:rPr>
          <w:spacing w:val="-3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lands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Richardson</w:t>
      </w:r>
      <w:r>
        <w:rPr>
          <w:spacing w:val="-2"/>
          <w:sz w:val="22"/>
        </w:rPr>
        <w:t> </w:t>
      </w:r>
      <w:r>
        <w:rPr>
          <w:sz w:val="22"/>
        </w:rPr>
        <w:t>Highway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wide</w:t>
      </w:r>
      <w:r>
        <w:rPr>
          <w:spacing w:val="-2"/>
          <w:sz w:val="22"/>
        </w:rPr>
        <w:t> </w:t>
      </w:r>
      <w:r>
        <w:rPr>
          <w:sz w:val="22"/>
        </w:rPr>
        <w:t>array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year-round</w:t>
      </w:r>
      <w:r>
        <w:rPr>
          <w:spacing w:val="-1"/>
          <w:sz w:val="22"/>
        </w:rPr>
        <w:t> </w:t>
      </w:r>
      <w:r>
        <w:rPr>
          <w:sz w:val="22"/>
        </w:rPr>
        <w:t>recreational</w:t>
      </w:r>
      <w:r>
        <w:rPr>
          <w:spacing w:val="-2"/>
          <w:sz w:val="22"/>
        </w:rPr>
        <w:t> </w:t>
      </w:r>
      <w:r>
        <w:rPr>
          <w:sz w:val="22"/>
        </w:rPr>
        <w:t>uses.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56" w:lineRule="auto" w:before="15" w:after="0"/>
        <w:ind w:left="460" w:right="208" w:hanging="360"/>
        <w:jc w:val="left"/>
        <w:rPr>
          <w:sz w:val="22"/>
        </w:rPr>
      </w:pPr>
      <w:r>
        <w:rPr>
          <w:sz w:val="22"/>
        </w:rPr>
        <w:t>This exchange would consolidate Chugach’s land holdings, and it would consolidate land holdings for</w:t>
      </w:r>
      <w:r>
        <w:rPr>
          <w:spacing w:val="-48"/>
          <w:sz w:val="22"/>
        </w:rPr>
        <w:t> </w:t>
      </w:r>
      <w:r>
        <w:rPr>
          <w:sz w:val="22"/>
        </w:rPr>
        <w:t>the Federal government as Chugach would provide 1,256 acres currently held within the external</w:t>
      </w:r>
      <w:r>
        <w:rPr>
          <w:spacing w:val="1"/>
          <w:sz w:val="22"/>
        </w:rPr>
        <w:t> </w:t>
      </w:r>
      <w:r>
        <w:rPr>
          <w:sz w:val="22"/>
        </w:rPr>
        <w:t>boundaries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Wrangell-St.</w:t>
      </w:r>
      <w:r>
        <w:rPr>
          <w:spacing w:val="-2"/>
          <w:sz w:val="22"/>
        </w:rPr>
        <w:t> </w:t>
      </w:r>
      <w:r>
        <w:rPr>
          <w:sz w:val="22"/>
        </w:rPr>
        <w:t>Elias</w:t>
      </w:r>
      <w:r>
        <w:rPr>
          <w:spacing w:val="-1"/>
          <w:sz w:val="22"/>
        </w:rPr>
        <w:t> </w:t>
      </w:r>
      <w:r>
        <w:rPr>
          <w:sz w:val="22"/>
        </w:rPr>
        <w:t>National</w:t>
      </w:r>
      <w:r>
        <w:rPr>
          <w:spacing w:val="-2"/>
          <w:sz w:val="22"/>
        </w:rPr>
        <w:t> </w:t>
      </w:r>
      <w:r>
        <w:rPr>
          <w:sz w:val="22"/>
        </w:rPr>
        <w:t>Park,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designated</w:t>
      </w:r>
      <w:r>
        <w:rPr>
          <w:spacing w:val="-1"/>
          <w:sz w:val="22"/>
        </w:rPr>
        <w:t> </w:t>
      </w:r>
      <w:r>
        <w:rPr>
          <w:sz w:val="22"/>
        </w:rPr>
        <w:t>Wilderness</w:t>
      </w:r>
      <w:r>
        <w:rPr>
          <w:spacing w:val="-2"/>
          <w:sz w:val="22"/>
        </w:rPr>
        <w:t> </w:t>
      </w:r>
      <w:r>
        <w:rPr>
          <w:sz w:val="22"/>
        </w:rPr>
        <w:t>Area.</w:t>
      </w:r>
    </w:p>
    <w:p>
      <w:pPr>
        <w:pStyle w:val="BodyText"/>
        <w:spacing w:before="57"/>
        <w:ind w:left="103"/>
        <w:rPr>
          <w:rFonts w:ascii="Palatino Linotype"/>
        </w:rPr>
      </w:pPr>
      <w:r>
        <w:rPr>
          <w:rFonts w:ascii="Palatino Linotype"/>
          <w:color w:val="615D5A"/>
          <w:spacing w:val="17"/>
        </w:rPr>
        <w:t>koniag.com</w:t>
      </w:r>
      <w:r>
        <w:rPr>
          <w:rFonts w:ascii="Palatino Linotype"/>
          <w:color w:val="615D5A"/>
          <w:spacing w:val="-36"/>
        </w:rPr>
        <w:t> </w:t>
      </w:r>
    </w:p>
    <w:p>
      <w:pPr>
        <w:spacing w:after="0"/>
        <w:rPr>
          <w:rFonts w:ascii="Palatino Linotype"/>
        </w:rPr>
        <w:sectPr>
          <w:type w:val="continuous"/>
          <w:pgSz w:w="12240" w:h="15840"/>
          <w:pgMar w:header="0" w:footer="988" w:top="600" w:bottom="1180" w:left="1340" w:right="1240"/>
        </w:sectPr>
      </w:pPr>
    </w:p>
    <w:p>
      <w:pPr>
        <w:pStyle w:val="BodyText"/>
        <w:rPr>
          <w:rFonts w:ascii="Palatino Linotype"/>
          <w:sz w:val="20"/>
        </w:rPr>
      </w:pPr>
      <w:r>
        <w:rPr/>
        <w:pict>
          <v:rect style="position:absolute;margin-left:61.800079pt;margin-top:708.464233pt;width:2.150094pt;height:36.000080pt;mso-position-horizontal-relative:page;mso-position-vertical-relative:page;z-index:15729664" id="docshape6" filled="true" fillcolor="#ffde6a" stroked="false">
            <v:fill type="solid"/>
            <w10:wrap type="none"/>
          </v:rect>
        </w:pict>
      </w:r>
    </w:p>
    <w:p>
      <w:pPr>
        <w:pStyle w:val="BodyText"/>
        <w:spacing w:before="9"/>
        <w:rPr>
          <w:rFonts w:ascii="Palatino Linotype"/>
          <w:sz w:val="18"/>
        </w:rPr>
      </w:pPr>
    </w:p>
    <w:p>
      <w:pPr>
        <w:pStyle w:val="BodyText"/>
        <w:spacing w:line="259" w:lineRule="auto" w:before="1"/>
        <w:ind w:left="100" w:right="379"/>
      </w:pPr>
      <w:r>
        <w:rPr/>
        <w:t>Chugach’s proposed land exchange in the Thompson Pass area would not disrupt public access to</w:t>
      </w:r>
      <w:r>
        <w:rPr>
          <w:spacing w:val="1"/>
        </w:rPr>
        <w:t> </w:t>
      </w:r>
      <w:r>
        <w:rPr/>
        <w:t>recreational areas as most of the recreational access is not in the area identified for the exchange.</w:t>
      </w:r>
      <w:r>
        <w:rPr>
          <w:spacing w:val="1"/>
        </w:rPr>
        <w:t> </w:t>
      </w:r>
      <w:r>
        <w:rPr/>
        <w:t>Chugach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Tatitlek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benefit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lands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road</w:t>
      </w:r>
      <w:r>
        <w:rPr>
          <w:spacing w:val="1"/>
        </w:rPr>
        <w:t> </w:t>
      </w:r>
      <w:r>
        <w:rPr/>
        <w:t>system while the federal government would enjoy a consolidation of lands within its national park</w:t>
      </w:r>
      <w:r>
        <w:rPr>
          <w:spacing w:val="1"/>
        </w:rPr>
        <w:t> </w:t>
      </w:r>
      <w:r>
        <w:rPr/>
        <w:t>boundaries.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518" w:lineRule="auto"/>
        <w:ind w:left="100" w:right="4809"/>
      </w:pPr>
      <w:r>
        <w:rPr/>
        <w:t>Thank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comment.</w:t>
      </w:r>
      <w:r>
        <w:rPr>
          <w:spacing w:val="-47"/>
        </w:rPr>
        <w:t> </w:t>
      </w:r>
      <w:r>
        <w:rPr/>
        <w:t>Sincerely,</w:t>
      </w:r>
    </w:p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1403008" cy="530351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008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00" w:right="8267"/>
      </w:pPr>
      <w:r>
        <w:rPr>
          <w:spacing w:val="-1"/>
        </w:rPr>
        <w:t>Shauna </w:t>
      </w:r>
      <w:r>
        <w:rPr/>
        <w:t>Hegna</w:t>
      </w:r>
      <w:r>
        <w:rPr>
          <w:spacing w:val="-47"/>
        </w:rPr>
        <w:t> </w:t>
      </w:r>
      <w:r>
        <w:rPr/>
        <w:t>President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tabs>
          <w:tab w:pos="8674" w:val="left" w:leader="none"/>
        </w:tabs>
        <w:spacing w:before="101"/>
        <w:ind w:left="118" w:right="0" w:firstLine="0"/>
        <w:jc w:val="left"/>
        <w:rPr>
          <w:rFonts w:ascii="Palatino Linotype"/>
          <w:sz w:val="16"/>
        </w:rPr>
      </w:pPr>
      <w:r>
        <w:rPr>
          <w:rFonts w:ascii="Palatino Linotype"/>
          <w:color w:val="615D5A"/>
          <w:spacing w:val="17"/>
          <w:sz w:val="22"/>
        </w:rPr>
        <w:t>koniag.com</w:t>
        <w:tab/>
      </w:r>
      <w:r>
        <w:rPr>
          <w:rFonts w:ascii="Palatino Linotype"/>
          <w:color w:val="615D5A"/>
          <w:sz w:val="16"/>
        </w:rPr>
        <w:t>Page</w:t>
      </w:r>
      <w:r>
        <w:rPr>
          <w:rFonts w:ascii="Palatino Linotype"/>
          <w:color w:val="615D5A"/>
          <w:spacing w:val="4"/>
          <w:sz w:val="16"/>
        </w:rPr>
        <w:t> </w:t>
      </w:r>
      <w:r>
        <w:rPr>
          <w:rFonts w:ascii="Palatino Linotype"/>
          <w:color w:val="615D5A"/>
          <w:sz w:val="16"/>
        </w:rPr>
        <w:t>2</w:t>
      </w:r>
      <w:r>
        <w:rPr>
          <w:rFonts w:ascii="Palatino Linotype"/>
          <w:color w:val="615D5A"/>
          <w:spacing w:val="4"/>
          <w:sz w:val="16"/>
        </w:rPr>
        <w:t> </w:t>
      </w:r>
      <w:r>
        <w:rPr>
          <w:rFonts w:ascii="Palatino Linotype"/>
          <w:color w:val="615D5A"/>
          <w:sz w:val="16"/>
        </w:rPr>
        <w:t>of</w:t>
      </w:r>
      <w:r>
        <w:rPr>
          <w:rFonts w:ascii="Palatino Linotype"/>
          <w:color w:val="615D5A"/>
          <w:spacing w:val="5"/>
          <w:sz w:val="16"/>
        </w:rPr>
        <w:t> </w:t>
      </w:r>
      <w:r>
        <w:rPr>
          <w:rFonts w:ascii="Palatino Linotype"/>
          <w:color w:val="615D5A"/>
          <w:sz w:val="16"/>
        </w:rPr>
        <w:t>2</w:t>
      </w:r>
    </w:p>
    <w:sectPr>
      <w:pgSz w:w="12240" w:h="15840"/>
      <w:pgMar w:header="0" w:footer="988" w:top="1500" w:bottom="1360" w:left="13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199944pt;margin-top:731.565552pt;width:61.2pt;height:25.45pt;mso-position-horizontal-relative:page;mso-position-vertical-relative:page;z-index:-15791104" type="#_x0000_t202" id="docshape1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Palatino Linotype"/>
                    <w:sz w:val="16"/>
                  </w:rPr>
                </w:pPr>
                <w:r>
                  <w:rPr>
                    <w:rFonts w:ascii="Arial"/>
                    <w:b/>
                    <w:color w:val="E57048"/>
                    <w:sz w:val="16"/>
                  </w:rPr>
                  <w:t>P</w:t>
                </w:r>
                <w:r>
                  <w:rPr>
                    <w:rFonts w:ascii="Arial"/>
                    <w:b/>
                    <w:color w:val="E57048"/>
                    <w:spacing w:val="12"/>
                    <w:sz w:val="16"/>
                  </w:rPr>
                  <w:t> </w:t>
                </w:r>
                <w:r>
                  <w:rPr>
                    <w:rFonts w:ascii="Palatino Linotype"/>
                    <w:color w:val="615D5A"/>
                    <w:sz w:val="16"/>
                  </w:rPr>
                  <w:t>(907)</w:t>
                </w:r>
                <w:r>
                  <w:rPr>
                    <w:rFonts w:ascii="Palatino Linotype"/>
                    <w:color w:val="615D5A"/>
                    <w:spacing w:val="10"/>
                    <w:sz w:val="16"/>
                  </w:rPr>
                  <w:t> </w:t>
                </w:r>
                <w:r>
                  <w:rPr>
                    <w:rFonts w:ascii="Palatino Linotype"/>
                    <w:color w:val="615D5A"/>
                    <w:sz w:val="16"/>
                  </w:rPr>
                  <w:t>561-2668</w:t>
                </w:r>
              </w:p>
              <w:p>
                <w:pPr>
                  <w:spacing w:before="39"/>
                  <w:ind w:left="20" w:right="0" w:firstLine="0"/>
                  <w:jc w:val="left"/>
                  <w:rPr>
                    <w:rFonts w:ascii="Palatino Linotype"/>
                    <w:sz w:val="16"/>
                  </w:rPr>
                </w:pPr>
                <w:r>
                  <w:rPr>
                    <w:rFonts w:ascii="Arial"/>
                    <w:b/>
                    <w:color w:val="E57048"/>
                    <w:sz w:val="16"/>
                  </w:rPr>
                  <w:t>F</w:t>
                </w:r>
                <w:r>
                  <w:rPr>
                    <w:rFonts w:ascii="Arial"/>
                    <w:b/>
                    <w:color w:val="E57048"/>
                    <w:spacing w:val="11"/>
                    <w:sz w:val="16"/>
                  </w:rPr>
                  <w:t> </w:t>
                </w:r>
                <w:r>
                  <w:rPr>
                    <w:rFonts w:ascii="Palatino Linotype"/>
                    <w:color w:val="615D5A"/>
                    <w:sz w:val="16"/>
                  </w:rPr>
                  <w:t>(907)</w:t>
                </w:r>
                <w:r>
                  <w:rPr>
                    <w:rFonts w:ascii="Palatino Linotype"/>
                    <w:color w:val="615D5A"/>
                    <w:spacing w:val="10"/>
                    <w:sz w:val="16"/>
                  </w:rPr>
                  <w:t> </w:t>
                </w:r>
                <w:r>
                  <w:rPr>
                    <w:rFonts w:ascii="Palatino Linotype"/>
                    <w:color w:val="615D5A"/>
                    <w:sz w:val="16"/>
                  </w:rPr>
                  <w:t>562-5258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8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Title" w:type="paragraph">
    <w:name w:val="Title"/>
    <w:basedOn w:val="Normal"/>
    <w:uiPriority w:val="1"/>
    <w:qFormat/>
    <w:pPr>
      <w:spacing w:before="77"/>
      <w:ind w:left="100"/>
    </w:pPr>
    <w:rPr>
      <w:rFonts w:ascii="Garamond" w:hAnsi="Garamond" w:eastAsia="Garamond" w:cs="Garamond"/>
      <w:sz w:val="51"/>
      <w:szCs w:val="51"/>
    </w:rPr>
  </w:style>
  <w:style w:styleId="ListParagraph" w:type="paragraph">
    <w:name w:val="List Paragraph"/>
    <w:basedOn w:val="Normal"/>
    <w:uiPriority w:val="1"/>
    <w:qFormat/>
    <w:pPr>
      <w:spacing w:before="1"/>
      <w:ind w:left="460" w:right="208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 Halvorsen</dc:creator>
  <dc:title>Koniag support CAC land exchange-2</dc:title>
  <dcterms:created xsi:type="dcterms:W3CDTF">2021-07-12T17:39:04Z</dcterms:created>
  <dcterms:modified xsi:type="dcterms:W3CDTF">2021-07-12T17:39:04Z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Word</vt:lpwstr>
  </property>
  <property fmtid="{D5CDD505-2E9C-101B-9397-08002B2CF9AE}" pid="4" name="LastSaved">
    <vt:filetime>2021-07-12T00:00:00Z</vt:filetime>
  </property>
</Properties>
</file>